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1019175</wp:posOffset>
                </wp:positionH>
                <wp:positionV relativeFrom="paragraph">
                  <wp:posOffset>0</wp:posOffset>
                </wp:positionV>
                <wp:extent cx="4114800" cy="1104900"/>
                <wp:effectExtent b="0" l="0" r="0" t="0"/>
                <wp:wrapNone/>
                <wp:docPr id="1" name=""/>
                <a:graphic>
                  <a:graphicData uri="http://schemas.microsoft.com/office/word/2010/wordprocessingShape">
                    <wps:wsp>
                      <wps:cNvSpPr/>
                      <wps:cNvPr id="2" name="Shape 2"/>
                      <wps:spPr>
                        <a:xfrm>
                          <a:off x="3288600" y="3227550"/>
                          <a:ext cx="4114800" cy="11049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48"/>
                                <w:vertAlign w:val="baseline"/>
                              </w:rPr>
                              <w:t xml:space="preserve">Jackson Hole High School</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48"/>
                                <w:vertAlign w:val="baseline"/>
                              </w:rPr>
                            </w:r>
                            <w:r w:rsidDel="00000000" w:rsidR="00000000" w:rsidRPr="00000000">
                              <w:rPr>
                                <w:rFonts w:ascii="Arial" w:cs="Arial" w:eastAsia="Arial" w:hAnsi="Arial"/>
                                <w:b w:val="1"/>
                                <w:i w:val="0"/>
                                <w:smallCaps w:val="0"/>
                                <w:strike w:val="0"/>
                                <w:color w:val="000000"/>
                                <w:sz w:val="18"/>
                                <w:vertAlign w:val="baseline"/>
                              </w:rPr>
                              <w:t xml:space="preserve">1910 High School Road, PO Box 568 Jackson, Wyoming 83001</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Phone (307) 732-3700 Fax (307) 732-3720</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www.tcsd.org/jhhs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1"/>
                                <w:smallCaps w:val="0"/>
                                <w:strike w:val="0"/>
                                <w:color w:val="000000"/>
                                <w:sz w:val="18"/>
                                <w:vertAlign w:val="baseline"/>
                              </w:rPr>
                              <w:t xml:space="preserve">Mission: 100% College and Career Readiness, 100% Graduation Rate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1019175</wp:posOffset>
                </wp:positionH>
                <wp:positionV relativeFrom="paragraph">
                  <wp:posOffset>0</wp:posOffset>
                </wp:positionV>
                <wp:extent cx="4114800" cy="11049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114800" cy="11049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-402589</wp:posOffset>
            </wp:positionV>
            <wp:extent cx="1133475" cy="1627505"/>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33475" cy="162750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right"/>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jc w:val="right"/>
        <w:rPr>
          <w:b w:val="1"/>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Early Release Contract - 2020/2021 - Jackson Hole Ski and Snowboard Clu</w:t>
      </w:r>
      <w:r w:rsidDel="00000000" w:rsidR="00000000" w:rsidRPr="00000000">
        <w:rPr>
          <w:b w:val="1"/>
          <w:rtl w:val="0"/>
        </w:rPr>
        <w:t xml:space="preserve">b (JHSC)</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jc w:val="left"/>
        <w:rPr>
          <w:b w:val="1"/>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jc w:val="left"/>
        <w:rPr>
          <w:b w:val="1"/>
          <w:u w:val="single"/>
        </w:rPr>
      </w:pPr>
      <w:r w:rsidDel="00000000" w:rsidR="00000000" w:rsidRPr="00000000">
        <w:rPr>
          <w:b w:val="1"/>
          <w:rtl w:val="0"/>
        </w:rPr>
        <w:t xml:space="preserve">Student Information</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0"/>
        <w:gridCol w:w="6960"/>
        <w:tblGridChange w:id="0">
          <w:tblGrid>
            <w:gridCol w:w="3840"/>
            <w:gridCol w:w="6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Student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Grade (20/21 School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Parent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Parent Email (that you regularly check)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Parent Phone (cell or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jc w:val="left"/>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ind w:left="20" w:firstLine="0"/>
        <w:rPr>
          <w:b w:val="1"/>
          <w:u w:val="single"/>
        </w:rPr>
      </w:pPr>
      <w:r w:rsidDel="00000000" w:rsidR="00000000" w:rsidRPr="00000000">
        <w:rPr>
          <w:b w:val="1"/>
          <w:rtl w:val="0"/>
        </w:rPr>
        <w:t xml:space="preserve">JHSC</w:t>
      </w:r>
      <w:r w:rsidDel="00000000" w:rsidR="00000000" w:rsidRPr="00000000">
        <w:rPr>
          <w:b w:val="1"/>
          <w:rtl w:val="0"/>
        </w:rPr>
        <w:t xml:space="preserve"> Information - Please Circle Your Team for the 20/21 School Year</w:t>
      </w:r>
      <w:r w:rsidDel="00000000" w:rsidR="00000000" w:rsidRPr="00000000">
        <w:rPr>
          <w:rtl w:val="0"/>
        </w:rPr>
      </w:r>
    </w:p>
    <w:tbl>
      <w:tblPr>
        <w:tblStyle w:val="Table2"/>
        <w:tblW w:w="1078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95"/>
        <w:gridCol w:w="2695"/>
        <w:gridCol w:w="2695"/>
        <w:gridCol w:w="2695"/>
        <w:tblGridChange w:id="0">
          <w:tblGrid>
            <w:gridCol w:w="2695"/>
            <w:gridCol w:w="2695"/>
            <w:gridCol w:w="2695"/>
            <w:gridCol w:w="26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Nordic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U-16 Alpine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FIS Alpine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Freeride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Grade 9-12 Nordic athletes early release at 2:40 PM during the Winter season (Nov-Mar).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Grade 9-10 U-16 Alpine athletes early release at 2:00 PM Tuesday - 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Grade 11-12 FIS Alpine athletes early release at 1:00 PM Tuesday - Friday.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rPr/>
            </w:pPr>
            <w:r w:rsidDel="00000000" w:rsidR="00000000" w:rsidRPr="00000000">
              <w:rPr>
                <w:rtl w:val="0"/>
              </w:rPr>
              <w:t xml:space="preserve">Grade 9-12 Freeride athletes early release at 1:00 PM Wednesday and Friday.</w:t>
            </w:r>
          </w:p>
          <w:p w:rsidR="00000000" w:rsidDel="00000000" w:rsidP="00000000" w:rsidRDefault="00000000" w:rsidRPr="00000000" w14:paraId="00000020">
            <w:pPr>
              <w:widowControl w:val="0"/>
              <w:jc w:val="left"/>
              <w:rPr/>
            </w:pPr>
            <w:r w:rsidDel="00000000" w:rsidR="00000000" w:rsidRPr="00000000">
              <w:rPr>
                <w:rtl w:val="0"/>
              </w:rPr>
            </w:r>
          </w:p>
        </w:tc>
      </w:tr>
    </w:tbl>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ind w:left="0" w:firstLine="0"/>
        <w:rPr>
          <w:b w:val="1"/>
        </w:rPr>
      </w:pPr>
      <w:r w:rsidDel="00000000" w:rsidR="00000000" w:rsidRPr="00000000">
        <w:rPr>
          <w:b w:val="1"/>
          <w:rtl w:val="0"/>
        </w:rPr>
        <w:t xml:space="preserve">**Athletes must have practice for early release. If there is no practice, students must remain in school</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ind w:left="20" w:firstLine="0"/>
        <w:rPr>
          <w:b w:val="1"/>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b w:val="1"/>
          <w:rtl w:val="0"/>
        </w:rPr>
        <w:t xml:space="preserve">Early Release Eligibility</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t xml:space="preserve">JHHS students participating in the early release program with JHSC must meet the following eligibility criteria:</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Maintain enrollment with the Jackson Hole Ski and Snowboard Club, </w:t>
      </w:r>
      <w:r w:rsidDel="00000000" w:rsidR="00000000" w:rsidRPr="00000000">
        <w:rPr>
          <w:rtl w:val="0"/>
        </w:rPr>
        <w:t xml:space="preserve">and be in good standing with the JHSC Student-Athlete Code of Conduct and Academic Policy.</w:t>
      </w:r>
      <w:r w:rsidDel="00000000" w:rsidR="00000000" w:rsidRPr="00000000">
        <w:rPr>
          <w:rtl w:val="0"/>
        </w:rPr>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Maintain a completed release of educational records for the JHSC to receive grade, attendance, and eligibility information from JHHS.</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Maintain good behavioral standing at JHHS - disciplinary referrals and suspensions will result in removal from the early release program.</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Maintain academic eligibility at the JHHS regular grade updates - students must maintain a 2.5 GPA and have no failing grades (Ds or Fs). Students who do not meet academic eligibility will be subject to the following progressive consequence: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pPr>
            <w:r w:rsidDel="00000000" w:rsidR="00000000" w:rsidRPr="00000000">
              <w:rPr>
                <w:rtl w:val="0"/>
              </w:rPr>
              <w:t xml:space="preserve">Remain on campus until 2:40 PM. Students may not be excused for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pPr>
            <w:r w:rsidDel="00000000" w:rsidR="00000000" w:rsidRPr="00000000">
              <w:rPr>
                <w:rtl w:val="0"/>
              </w:rPr>
              <w:t xml:space="preserve">Week 1 + Remain on campus through the end of school day on W and F. Students may not be excused for practice.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pPr>
            <w:r w:rsidDel="00000000" w:rsidR="00000000" w:rsidRPr="00000000">
              <w:rPr>
                <w:rtl w:val="0"/>
              </w:rPr>
              <w:t xml:space="preserve">Remain on campus through the end of day all week. Students may not be excused for practice.</w:t>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ind w:left="0" w:firstLine="0"/>
        <w:rPr>
          <w:b w:val="1"/>
          <w:u w:val="single"/>
        </w:rPr>
      </w:pPr>
      <w:r w:rsidDel="00000000" w:rsidR="00000000" w:rsidRPr="00000000">
        <w:rPr>
          <w:rtl w:val="0"/>
        </w:rPr>
        <w:t xml:space="preserve">**Once students restore academic eligibility and turn in a completed eligibility sheet, they return to a normal early release schedule. Students who do not restore academic eligibility by the end of week 3 risk being removed from the early release program for the remainder of the season.</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ind w:left="0" w:firstLine="0"/>
        <w:rPr>
          <w:b w:val="1"/>
          <w:u w:val="singl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ind w:left="0" w:firstLine="0"/>
        <w:rPr>
          <w:b w:val="1"/>
          <w:u w:val="singl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ind w:left="0" w:firstLine="0"/>
        <w:rPr>
          <w:b w:val="1"/>
          <w:u w:val="singl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ind w:left="0" w:firstLine="0"/>
        <w:rPr>
          <w:b w:val="1"/>
          <w:u w:val="singl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ind w:left="0" w:firstLine="0"/>
        <w:rPr>
          <w:b w:val="1"/>
          <w:u w:val="singl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ind w:left="0" w:firstLine="0"/>
        <w:rPr>
          <w:b w:val="1"/>
          <w:u w:val="singl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ind w:left="0" w:firstLine="0"/>
        <w:rPr>
          <w:b w:val="1"/>
          <w:u w:val="single"/>
        </w:rPr>
      </w:pPr>
      <w:r w:rsidDel="00000000" w:rsidR="00000000" w:rsidRPr="00000000">
        <w:rPr>
          <w:b w:val="1"/>
          <w:u w:val="single"/>
          <w:rtl w:val="0"/>
        </w:rPr>
        <w:t xml:space="preserve">Summer Course Information</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t xml:space="preserve">Jackson Hole High School has approved the following courses to be administered by the Jackson Hole Ski and Snowboard Club during the 2020 Summer:</w:t>
      </w:r>
    </w:p>
    <w:p w:rsidR="00000000" w:rsidDel="00000000" w:rsidP="00000000" w:rsidRDefault="00000000" w:rsidRPr="00000000" w14:paraId="0000003B">
      <w:pPr>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rPr>
                <w:b w:val="1"/>
              </w:rPr>
            </w:pPr>
            <w:r w:rsidDel="00000000" w:rsidR="00000000" w:rsidRPr="00000000">
              <w:rPr>
                <w:b w:val="1"/>
                <w:rtl w:val="0"/>
              </w:rPr>
              <w:t xml:space="preserve">Course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rPr>
                <w:b w:val="1"/>
              </w:rPr>
            </w:pPr>
            <w:r w:rsidDel="00000000" w:rsidR="00000000" w:rsidRPr="00000000">
              <w:rPr>
                <w:b w:val="1"/>
                <w:rtl w:val="0"/>
              </w:rPr>
              <w:t xml:space="preserve">Content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b w:val="1"/>
              </w:rPr>
            </w:pPr>
            <w:r w:rsidDel="00000000" w:rsidR="00000000" w:rsidRPr="00000000">
              <w:rPr>
                <w:b w:val="1"/>
                <w:rtl w:val="0"/>
              </w:rPr>
              <w:t xml:space="preserve">Credit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rPr/>
            </w:pPr>
            <w:r w:rsidDel="00000000" w:rsidR="00000000" w:rsidRPr="00000000">
              <w:rPr>
                <w:rtl w:val="0"/>
              </w:rPr>
              <w:t xml:space="preserve">Principles of Health 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pPr>
            <w:r w:rsidDel="00000000" w:rsidR="00000000" w:rsidRPr="00000000">
              <w:rPr>
                <w:rtl w:val="0"/>
              </w:rPr>
              <w:t xml:space="preserve">Career Tech Education (CTE) Elective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pPr>
            <w:r w:rsidDel="00000000" w:rsidR="00000000" w:rsidRPr="00000000">
              <w:rPr>
                <w:rtl w:val="0"/>
              </w:rPr>
              <w:t xml:space="preserve">Music Appreciation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rPr/>
            </w:pPr>
            <w:r w:rsidDel="00000000" w:rsidR="00000000" w:rsidRPr="00000000">
              <w:rPr>
                <w:rtl w:val="0"/>
              </w:rPr>
              <w:t xml:space="preserve">Fine Arts (FA) Elective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rPr/>
            </w:pPr>
            <w:r w:rsidDel="00000000" w:rsidR="00000000" w:rsidRPr="00000000">
              <w:rPr>
                <w:rtl w:val="0"/>
              </w:rPr>
              <w:t xml:space="preserve">Environmental 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pPr>
            <w:r w:rsidDel="00000000" w:rsidR="00000000" w:rsidRPr="00000000">
              <w:rPr>
                <w:rtl w:val="0"/>
              </w:rPr>
              <w:t xml:space="preserve">Science (SC) Elective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pPr>
            <w:r w:rsidDel="00000000" w:rsidR="00000000" w:rsidRPr="00000000">
              <w:rPr>
                <w:rtl w:val="0"/>
              </w:rPr>
              <w:t xml:space="preserve">Psychology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rPr/>
            </w:pPr>
            <w:r w:rsidDel="00000000" w:rsidR="00000000" w:rsidRPr="00000000">
              <w:rPr>
                <w:rtl w:val="0"/>
              </w:rPr>
              <w:t xml:space="preserve">Science (SS) Elective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pPr>
            <w:r w:rsidDel="00000000" w:rsidR="00000000" w:rsidRPr="00000000">
              <w:rPr>
                <w:rtl w:val="0"/>
              </w:rPr>
              <w:t xml:space="preserve">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rPr/>
            </w:pPr>
            <w:r w:rsidDel="00000000" w:rsidR="00000000" w:rsidRPr="00000000">
              <w:rPr>
                <w:rtl w:val="0"/>
              </w:rPr>
              <w:t xml:space="preserve">Sociology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rPr/>
            </w:pPr>
            <w:r w:rsidDel="00000000" w:rsidR="00000000" w:rsidRPr="00000000">
              <w:rPr>
                <w:rtl w:val="0"/>
              </w:rPr>
              <w:t xml:space="preserve">Social Studies (SS) Elective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rPr/>
            </w:pPr>
            <w:r w:rsidDel="00000000" w:rsidR="00000000" w:rsidRPr="00000000">
              <w:rPr>
                <w:rtl w:val="0"/>
              </w:rPr>
              <w:t xml:space="preserve">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pPr>
            <w:r w:rsidDel="00000000" w:rsidR="00000000" w:rsidRPr="00000000">
              <w:rPr>
                <w:rtl w:val="0"/>
              </w:rPr>
              <w:t xml:space="preserve">Multicultural Studies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pPr>
            <w:r w:rsidDel="00000000" w:rsidR="00000000" w:rsidRPr="00000000">
              <w:rPr>
                <w:rtl w:val="0"/>
              </w:rPr>
              <w:t xml:space="preserve">Social Studies (SS) Elective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rPr/>
            </w:pPr>
            <w:r w:rsidDel="00000000" w:rsidR="00000000" w:rsidRPr="00000000">
              <w:rPr>
                <w:rtl w:val="0"/>
              </w:rPr>
              <w:t xml:space="preserve">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rPr/>
            </w:pPr>
            <w:r w:rsidDel="00000000" w:rsidR="00000000" w:rsidRPr="00000000">
              <w:rPr>
                <w:rtl w:val="0"/>
              </w:rPr>
              <w:t xml:space="preserve">Mathematics of Personal 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rPr/>
            </w:pPr>
            <w:r w:rsidDel="00000000" w:rsidR="00000000" w:rsidRPr="00000000">
              <w:rPr>
                <w:rtl w:val="0"/>
              </w:rPr>
              <w:t xml:space="preserve">Math (MA) Elective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rPr/>
            </w:pPr>
            <w:r w:rsidDel="00000000" w:rsidR="00000000" w:rsidRPr="00000000">
              <w:rPr>
                <w:rtl w:val="0"/>
              </w:rPr>
              <w:t xml:space="preserve">1.0 **Pre-req, passed Geometry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rPr/>
            </w:pPr>
            <w:r w:rsidDel="00000000" w:rsidR="00000000" w:rsidRPr="00000000">
              <w:rPr>
                <w:rtl w:val="0"/>
              </w:rPr>
              <w:t xml:space="preserve">Art Appreciation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rPr/>
            </w:pPr>
            <w:r w:rsidDel="00000000" w:rsidR="00000000" w:rsidRPr="00000000">
              <w:rPr>
                <w:rtl w:val="0"/>
              </w:rPr>
              <w:t xml:space="preserve">Fine Arts (FA) Elective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rPr/>
            </w:pPr>
            <w:r w:rsidDel="00000000" w:rsidR="00000000" w:rsidRPr="00000000">
              <w:rPr>
                <w:rtl w:val="0"/>
              </w:rPr>
              <w:t xml:space="preserve">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rPr/>
            </w:pPr>
            <w:r w:rsidDel="00000000" w:rsidR="00000000" w:rsidRPr="00000000">
              <w:rPr>
                <w:rtl w:val="0"/>
              </w:rPr>
              <w:t xml:space="preserve">Geography and World Cultures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rPr/>
            </w:pPr>
            <w:r w:rsidDel="00000000" w:rsidR="00000000" w:rsidRPr="00000000">
              <w:rPr>
                <w:rtl w:val="0"/>
              </w:rPr>
              <w:t xml:space="preserve">Social Studies (SS) Elective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rPr/>
            </w:pPr>
            <w:r w:rsidDel="00000000" w:rsidR="00000000" w:rsidRPr="00000000">
              <w:rPr>
                <w:rtl w:val="0"/>
              </w:rPr>
              <w:t xml:space="preserve">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rPr/>
            </w:pPr>
            <w:r w:rsidDel="00000000" w:rsidR="00000000" w:rsidRPr="00000000">
              <w:rPr>
                <w:rtl w:val="0"/>
              </w:rPr>
              <w:t xml:space="preserve">Creative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rPr/>
            </w:pPr>
            <w:r w:rsidDel="00000000" w:rsidR="00000000" w:rsidRPr="00000000">
              <w:rPr>
                <w:rtl w:val="0"/>
              </w:rPr>
              <w:t xml:space="preserve">English/Language Arts (ELA) Elective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rPr/>
            </w:pPr>
            <w:r w:rsidDel="00000000" w:rsidR="00000000" w:rsidRPr="00000000">
              <w:rPr>
                <w:rtl w:val="0"/>
              </w:rPr>
              <w:t xml:space="preserve">0.5</w:t>
            </w:r>
          </w:p>
        </w:tc>
      </w:tr>
    </w:tbl>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ind w:left="0" w:firstLine="0"/>
        <w:rPr>
          <w:i w:val="1"/>
        </w:rPr>
      </w:pPr>
      <w:r w:rsidDel="00000000" w:rsidR="00000000" w:rsidRPr="00000000">
        <w:rPr>
          <w:rtl w:val="0"/>
        </w:rPr>
        <w:t xml:space="preserve">These courses will count towards a student’s elective credits required for graduation. These courses will </w:t>
      </w:r>
      <w:r w:rsidDel="00000000" w:rsidR="00000000" w:rsidRPr="00000000">
        <w:rPr>
          <w:u w:val="single"/>
          <w:rtl w:val="0"/>
        </w:rPr>
        <w:t xml:space="preserve">not</w:t>
      </w:r>
      <w:r w:rsidDel="00000000" w:rsidR="00000000" w:rsidRPr="00000000">
        <w:rPr>
          <w:rtl w:val="0"/>
        </w:rPr>
        <w:t xml:space="preserve"> count towards graduation requirements in the core subject areas of English, Math, Science or Social Studies under any circumstances. The CTE and FA courses will fulfill JHHS distribution requirements for elective credits. Summer courses </w:t>
      </w:r>
      <w:r w:rsidDel="00000000" w:rsidR="00000000" w:rsidRPr="00000000">
        <w:rPr>
          <w:b w:val="1"/>
          <w:u w:val="single"/>
          <w:rtl w:val="0"/>
        </w:rPr>
        <w:t xml:space="preserve">must</w:t>
      </w:r>
      <w:r w:rsidDel="00000000" w:rsidR="00000000" w:rsidRPr="00000000">
        <w:rPr>
          <w:rtl w:val="0"/>
        </w:rPr>
        <w:t xml:space="preserve"> be completed on or before August 23rd, 2020. Upon completion, students will have an elective removed from their schedule and replaced with a study hall. </w:t>
      </w:r>
      <w:r w:rsidDel="00000000" w:rsidR="00000000" w:rsidRPr="00000000">
        <w:rPr>
          <w:u w:val="single"/>
          <w:rtl w:val="0"/>
        </w:rPr>
        <w:t xml:space="preserve">No exceptions will be made to the completion deadline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ind w:left="0" w:firstLine="0"/>
        <w:rPr>
          <w:b w:val="1"/>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40" w:lineRule="auto"/>
        <w:ind w:left="0" w:firstLine="0"/>
        <w:rPr>
          <w:b w:val="1"/>
        </w:rPr>
      </w:pPr>
      <w:r w:rsidDel="00000000" w:rsidR="00000000" w:rsidRPr="00000000">
        <w:rPr>
          <w:b w:val="1"/>
          <w:rtl w:val="0"/>
        </w:rPr>
        <w:t xml:space="preserve">Please fill in your Summer 2020 Course Information:</w:t>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Grade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Grade 10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Grade 11/12 Student</w:t>
            </w:r>
          </w:p>
        </w:tc>
      </w:tr>
      <w:tr>
        <w:trPr>
          <w:trHeight w:val="11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 Summer Option</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Register for Zero Hour 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1.0 Elective Credit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1.0 or 2.0 Elective Credit Information</w:t>
            </w:r>
          </w:p>
        </w:tc>
      </w:tr>
    </w:tbl>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40" w:lineRule="auto"/>
        <w:rPr>
          <w:color w:val="333333"/>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40" w:lineRule="auto"/>
        <w:rPr>
          <w:color w:val="333333"/>
        </w:rPr>
      </w:pPr>
      <w:r w:rsidDel="00000000" w:rsidR="00000000" w:rsidRPr="00000000">
        <w:rPr>
          <w:color w:val="333333"/>
          <w:rtl w:val="0"/>
        </w:rPr>
        <w:t xml:space="preserve">I understand that my student is enrolling in the JHHS early release program with the JHSC. This program means that my student will miss class on a regular basis during the early release season and an early release student will be responsible for increased communication with teachers and individual work completion. Enrollment in the early release program does not provide extensions for assignment deadlines or tests, students are expected to be proactive in planning around their missed classes.  Enrollment in the early release program is contingent on eligibility criteria outlined earlier in this document.</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40" w:lineRule="auto"/>
        <w:rPr>
          <w:color w:val="333333"/>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40" w:lineRule="auto"/>
        <w:rPr>
          <w:color w:val="333333"/>
        </w:rPr>
      </w:pPr>
      <w:r w:rsidDel="00000000" w:rsidR="00000000" w:rsidRPr="00000000">
        <w:rPr>
          <w:color w:val="333333"/>
          <w:rtl w:val="0"/>
        </w:rPr>
        <w:t xml:space="preserve">JHHS reserves the right to make changes to the early release program at any time during the school year and will provide notice of any changes to the JHSC.</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40" w:lineRule="auto"/>
        <w:rPr>
          <w:color w:val="333333"/>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7950"/>
        <w:tblGridChange w:id="0">
          <w:tblGrid>
            <w:gridCol w:w="2850"/>
            <w:gridCol w:w="79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rPr>
            </w:pPr>
            <w:r w:rsidDel="00000000" w:rsidR="00000000" w:rsidRPr="00000000">
              <w:rPr>
                <w:color w:val="333333"/>
                <w:rtl w:val="0"/>
              </w:rPr>
              <w:t xml:space="preserve">Parent/Guardian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rPr>
            </w:pPr>
            <w:r w:rsidDel="00000000" w:rsidR="00000000" w:rsidRPr="00000000">
              <w:rPr>
                <w:color w:val="333333"/>
                <w:rtl w:val="0"/>
              </w:rPr>
              <w:t xml:space="preserve">Student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rPr>
            </w:pPr>
            <w:r w:rsidDel="00000000" w:rsidR="00000000" w:rsidRPr="00000000">
              <w:rPr>
                <w:color w:val="333333"/>
                <w:rtl w:val="0"/>
              </w:rPr>
              <w:t xml:space="preserve">JHSC Administrator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rPr>
            </w:pPr>
            <w:r w:rsidDel="00000000" w:rsidR="00000000" w:rsidRPr="00000000">
              <w:rPr>
                <w:color w:val="333333"/>
                <w:rtl w:val="0"/>
              </w:rPr>
              <w:t xml:space="preserve">JHHS Administrator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rPr>
            </w:pPr>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40" w:lineRule="auto"/>
        <w:rPr>
          <w:color w:val="333333"/>
        </w:rPr>
      </w:pPr>
      <w:r w:rsidDel="00000000" w:rsidR="00000000" w:rsidRPr="00000000">
        <w:rPr>
          <w:rtl w:val="0"/>
        </w:rPr>
      </w:r>
    </w:p>
    <w:sectPr>
      <w:headerReference r:id="rId8" w:type="default"/>
      <w:headerReference r:id="rId9" w:type="first"/>
      <w:footerReference r:id="rId10" w:type="default"/>
      <w:footerReference r:id="rId11" w:type="firs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